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12校探訪準備</w:t>
      </w:r>
    </w:p>
    <w:p>
      <w:pPr>
        <w:pStyle w:val="Subtitle"/>
      </w:pPr>
      <w:r>
        <w:t>教師指引 資料收集及完成核對</w:t>
      </w:r>
    </w:p>
    <w:p>
      <w:pPr>
        <w:pStyle w:val="Heading1"/>
      </w:pPr>
      <w:r>
        <w:t>教師訪校準備指引</w:t>
      </w:r>
    </w:p>
    <w:p>
      <w:r>
        <w:t>我們正準備探訪12所學校，希望了解教師日常教學、支援學生、準備紀錄及檢視進展的實際做法。請使用現有資料，由項目紀錄人與你一起填表，再由校方檢視內容是否準確。</w:t>
      </w:r>
    </w:p>
    <w:p>
      <w:pPr>
        <w:pStyle w:val="Heading2"/>
      </w:pPr>
      <w:r>
        <w:t>請準備的現有資料</w:t>
      </w:r>
    </w:p>
    <w:p>
      <w:pPr>
        <w:pStyle w:val="ListBullet"/>
      </w:pPr>
      <w:r>
        <w:t>校曆及當前適用指示，顯示哪份報告屬哪個學年、何時交給誰、使用哪個系統。</w:t>
      </w:r>
    </w:p>
    <w:p>
      <w:pPr>
        <w:pStyle w:val="ListBullet"/>
      </w:pPr>
      <w:r>
        <w:t>一份現正使用的空白個別學習計劃、學生支援摘要或檢討表；如適用，再備空白成績表格式，並指出版本。</w:t>
      </w:r>
    </w:p>
    <w:p>
      <w:pPr>
        <w:pStyle w:val="ListBullet"/>
      </w:pPr>
      <w:r>
        <w:t>以安全示範方式說明最近完成的一項工作，由首次索取資料到核對、覆核、列印及遞交。</w:t>
      </w:r>
    </w:p>
    <w:p>
      <w:pPr>
        <w:pStyle w:val="ListBullet"/>
      </w:pPr>
      <w:r>
        <w:t>由熟悉流程的同事協助，建議包括特殊教育需要統籌主任（SENCO）或學生支援組成員，以及實際提供或使用資料的教師；行政或資訊科技同事只需參與相關交接部分。</w:t>
      </w:r>
    </w:p>
    <w:p>
      <w:pPr>
        <w:pStyle w:val="Heading2"/>
      </w:pPr>
      <w:r>
        <w:t>怎樣回答和填寫</w:t>
      </w:r>
    </w:p>
    <w:p>
      <w:r>
        <w:t>請以最近一次實際經驗說明誰做了甚麼、用哪個檔案或畫面，以及資料從何而來。「未知」、「未使用」及「來源有差異」都是有用答案。估計數字須註明單位和期間，例如每次檢討所需分鐘，並標示為估計。</w:t>
      </w:r>
    </w:p>
    <w:p>
      <w:r>
        <w:t>本次流程探訪使用空白表格或已移除可識別資料的示例，毋須提供學生姓名、身份識別號碼、診斷報告或帳戶密碼。複製文件、擷取畫面或錄音前，須先取得同意。[S5、S7]</w:t>
      </w:r>
    </w:p>
    <w:p>
      <w:r>
        <w:t>探訪後，請檢視團隊提供的本校紀錄草稿，修正事實描述，區分校內限期與教育局限期，並指出待核事項；相關同事可各自確認熟悉的部分。</w:t>
      </w:r>
    </w:p>
    <w:p>
      <w:r>
        <w:br w:type="page"/>
      </w:r>
    </w:p>
    <w:p>
      <w:pPr>
        <w:pStyle w:val="Heading1"/>
      </w:pPr>
      <w:r>
        <w:t>每校共同收集的資料</w:t>
      </w:r>
    </w:p>
    <w:p>
      <w:r>
        <w:t>12校使用共同問題，同時保留各校實際用語及例外情況。先記錄學校階段、辦學類別、學年、探訪日期、受訪者職位或代號，以及紀錄人；校名及日期須另行落實。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85" w:type="dxa"/>
          <w:right w:w="85" w:type="dxa"/>
        </w:tblCellMar>
      </w:tblPr>
      <w:tblGrid>
        <w:gridCol w:w="1814"/>
        <w:gridCol w:w="5443"/>
        <w:gridCol w:w="2494"/>
      </w:tblGrid>
      <w:tr>
        <w:trPr>
          <w:cantSplit/>
          <w:tblHeader/>
        </w:trPr>
        <w:tc>
          <w:tcPr>
            <w:tcW w:type="dxa" w:w="1814"/>
            <w:vAlign w:val="center"/>
            <w:shd w:fill="E7EEF3"/>
          </w:tcPr>
          <w:p>
            <w:pPr>
              <w:spacing w:after="20" w:line="245" w:lineRule="auto"/>
              <w:jc w:val="center"/>
            </w:pPr>
            <w:r>
              <w:rPr>
                <w:b/>
                <w:sz w:val="19"/>
              </w:rPr>
              <w:t>Louisa項目</w:t>
            </w:r>
          </w:p>
        </w:tc>
        <w:tc>
          <w:tcPr>
            <w:tcW w:type="dxa" w:w="5443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應了解的實際做法</w:t>
            </w:r>
          </w:p>
        </w:tc>
        <w:tc>
          <w:tcPr>
            <w:tcW w:type="dxa" w:w="2494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核對來源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a IEP 評估 名單</w:t>
            </w:r>
          </w:p>
        </w:tc>
        <w:tc>
          <w:tcPr>
            <w:tcW w:type="dxa" w:w="5443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涉及哪些學生或文件、學年、所需副本及接收方？使用11月30日前先核實適用性。</w:t>
            </w:r>
          </w:p>
        </w:tc>
        <w:tc>
          <w:tcPr>
            <w:tcW w:type="dxa" w:w="249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當前遞交指示及空白表格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b c d 成績表</w:t>
            </w:r>
          </w:p>
        </w:tc>
        <w:tc>
          <w:tcPr>
            <w:tcW w:type="dxa" w:w="5443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有多少學期？各學期派發日、校內收集日、欄位、覆核及實際轉移步驟。</w:t>
            </w:r>
          </w:p>
        </w:tc>
        <w:tc>
          <w:tcPr>
            <w:tcW w:type="dxa" w:w="249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校曆 空白格式 確切畫面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e IEP進度</w:t>
            </w:r>
          </w:p>
        </w:tc>
        <w:tc>
          <w:tcPr>
            <w:tcW w:type="dxa" w:w="5443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何時及由誰檢視目標？使用甚麼準則？如何記錄家長及學生意見？</w:t>
            </w:r>
          </w:p>
        </w:tc>
        <w:tc>
          <w:tcPr>
            <w:tcW w:type="dxa" w:w="249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空白IEP檢討部分及安排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f 年終檢討</w:t>
            </w:r>
          </w:p>
        </w:tc>
        <w:tc>
          <w:tcPr>
            <w:tcW w:type="dxa" w:w="5443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是個別學生還是學校層面檢討？分別記下確切名稱及用途。</w:t>
            </w:r>
          </w:p>
        </w:tc>
        <w:tc>
          <w:tcPr>
            <w:tcW w:type="dxa" w:w="249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空白表格名稱 學年 版本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g 津貼報告</w:t>
            </w:r>
          </w:p>
        </w:tc>
        <w:tc>
          <w:tcPr>
            <w:tcW w:type="dxa" w:w="5443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哪項津貼、辦學類別、學年、報告、覆核人及遞交渠道？留意2026/27變更。</w:t>
            </w:r>
          </w:p>
        </w:tc>
        <w:tc>
          <w:tcPr>
            <w:tcW w:type="dxa" w:w="249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當前適用通告或校內指示</w:t>
            </w:r>
          </w:p>
        </w:tc>
      </w:tr>
    </w:tbl>
    <w:p>
      <w:pPr>
        <w:spacing w:after="20"/>
      </w:pPr>
    </w:p>
    <w:p>
      <w:pPr>
        <w:pStyle w:val="Heading2"/>
      </w:pPr>
      <w:r>
        <w:t>系統及資料交接</w:t>
      </w:r>
    </w:p>
    <w:p>
      <w:r>
        <w:t>每個實際使用系統均記錄畫面上的確切名稱、模組、使用欄位、原始資料來源、匯入匯出格式及人手複製步驟。CloudSAMS、SEMIS、供應商產品與Excel分開記錄；可匯出檔案不等於能自動連接其他系統。[S9]</w:t>
      </w:r>
    </w:p>
    <w:p>
      <w:r>
        <w:t>逐一追蹤六個步驟：提供→錄入整理→檢查→覆核→按需要列印→按需要上載。每步記錄人員或職位、輸入、輸出、方法、下一接收方，以及發現錯誤後如何退回修正。同一人可負責多步。[S0]</w:t>
      </w:r>
    </w:p>
    <w:p>
      <w:r>
        <w:br w:type="page"/>
      </w:r>
    </w:p>
    <w:p>
      <w:pPr>
        <w:pStyle w:val="Heading1"/>
      </w:pPr>
      <w:r>
        <w:t>引導訪談及可核對紀錄</w:t>
      </w:r>
    </w:p>
    <w:p>
      <w:r>
        <w:t>建議60分鐘，須先與校方協定：5分鐘說明目的及資料使用方式；15分鐘重述最近工作；15分鐘核對文件與日期；15分鐘了解系統及分工；10分鐘覆述及商定跟進。可配合現有會議。先在首校試用，修正不清楚的題目，保留版本及修改紀錄。[S6]</w:t>
      </w:r>
    </w:p>
    <w:p>
      <w:pPr>
        <w:pStyle w:val="Heading2"/>
      </w:pPr>
      <w:r>
        <w:t>引導具體事實的問題</w:t>
      </w:r>
    </w:p>
    <w:p>
      <w:pPr>
        <w:pStyle w:val="ListBullet"/>
      </w:pPr>
      <w:r>
        <w:t>Q1 請重述最近一次準備這份紀錄的過程。由甚麼事情開始？最先開啟甚麼資料？</w:t>
      </w:r>
    </w:p>
    <w:p>
      <w:pPr>
        <w:pStyle w:val="ListBullet"/>
      </w:pPr>
      <w:r>
        <w:t>Q2 哪些資料原本已有？哪些要再次索取？可否展示空白示例？</w:t>
      </w:r>
    </w:p>
    <w:p>
      <w:pPr>
        <w:pStyle w:val="ListBullet"/>
      </w:pPr>
      <w:r>
        <w:t>Q3 覆核後如教師修正一項資料，下一步怎樣處理？由誰更新其他副本？</w:t>
      </w:r>
    </w:p>
    <w:p>
      <w:pPr>
        <w:pStyle w:val="ListBullet"/>
      </w:pPr>
      <w:r>
        <w:t>Q4 上次哪一步最費工夫？每項工作所需多少、屬哪段期間？是實測、點算還是憑記憶估計？</w:t>
      </w:r>
    </w:p>
    <w:p>
      <w:pPr>
        <w:pStyle w:val="ListBullet"/>
      </w:pPr>
      <w:r>
        <w:t>Q5 教師現時怎樣留意分數以外的強項、興趣及進步，包括成績一般或中等的學生？之後提供了甚麼發展機會？</w:t>
      </w:r>
    </w:p>
    <w:p>
      <w:pPr>
        <w:pStyle w:val="ListBullet"/>
      </w:pPr>
      <w:r>
        <w:t>Q6 哪一項具體輸出最有幫助？如何核對準確度，以及教師、SENCO和行政同事的整體工作量？</w:t>
      </w:r>
    </w:p>
    <w:p>
      <w:pPr>
        <w:pStyle w:val="Heading2"/>
      </w:pPr>
      <w:r>
        <w:t>分開記錄觀察與理解</w:t>
      </w:r>
    </w:p>
    <w:p>
      <w:r>
        <w:t>虛構示例EV01：示範空白表格時，紀錄人看到三個欄位由Excel複製到Word。教師估計每份檢討需20分鐘，未有計時。來源：示範第3步及教師口述。可能理解：重複輸入或增加工序。建議：試驗重用該些欄位。這並未證實可節省時間，也不是經驗證研究結論。</w:t>
      </w:r>
    </w:p>
    <w:p>
      <w:r>
        <w:t>每項有用示例記錄：日期及情境、職位或代號、實際發生的事、當時提供的支援或提示、可觀察反應或輸出、確切來源、證據類型、核對人及修正歷程。未知資料保留為未知；了解學生作品的使用流程，毋須收集可識別學生紀錄。</w:t>
      </w:r>
    </w:p>
    <w:p>
      <w:r>
        <w:br w:type="page"/>
      </w:r>
    </w:p>
    <w:p>
      <w:pPr>
        <w:pStyle w:val="Heading1"/>
      </w:pPr>
      <w:r>
        <w:t>已核實參考事實及校本核對</w:t>
      </w:r>
    </w:p>
    <w:p>
      <w:r>
        <w:t>F01 教育局參考文件分列支援紀錄冊、IEP、支援摘要，以及個別學生和學校層面的年終檢討。須核實本校實際表格及版本。[S1]</w:t>
      </w:r>
    </w:p>
    <w:p>
      <w:r>
        <w:t>F02 2026年9月指南指出，IEP成效應每年至少評估兩次，並按需要增加次數；這不代表所有IEP進度檢討均以11月30日為限期。[S2第3.1.3節，印刷頁16]</w:t>
      </w:r>
    </w:p>
    <w:p>
      <w:r>
        <w:t>F03 在適用學習支援津貼安排下，11月30日涉及學生資料遞交及相關副本；8月31日涉及經SEMIS遞交的學校層面年終檢討。須核對辦學類別、學年、文件及當前教育局通知；成績表日期仍屬校本安排。[S3第8、27段及附件1]</w:t>
      </w:r>
    </w:p>
    <w:p>
      <w:r>
        <w:t>F04 參考IEP及個別學生檢討表涵蓋強項興趣或非學科發展。應了解現有證據存放何處；訪校示例不構成資優鑑定、診斷或介入成效證明。[S4a第1至2頁；S4b第3頁]</w:t>
      </w:r>
    </w:p>
    <w:p>
      <w:r>
        <w:t>F05 由2026/27學年起，「非華語學生綜合支援津貼」整合兩項原有非華語學生支援津貼。項目g須先核對津貼名稱及學年，才重用舊表格。[S8第2至5、22段]</w:t>
      </w:r>
    </w:p>
    <w:p>
      <w:r>
        <w:t>F06 CloudSAMS與SEMIS是不同名稱的教育局系統。先保留校方用語，再核對畫面、模組及資料路徑；筆記寫「Simis」尚不足以辨明系統。[S2第9.2節；S9]</w:t>
      </w:r>
    </w:p>
    <w:p>
      <w:r>
        <w:t>以上是參考核對點，並非12校的實際情況。每個日期須分清學年、對外限期、校內收集日，以及證據版本。聲稱自動轉移資料，須展示實際路徑及限制。</w:t>
      </w:r>
    </w:p>
    <w:p>
      <w:r>
        <w:br w:type="page"/>
      </w:r>
    </w:p>
    <w:p>
      <w:pPr>
        <w:pStyle w:val="Heading1"/>
      </w:pPr>
      <w:r>
        <w:t>怎樣判斷訪校工作已完成</w:t>
      </w:r>
    </w:p>
    <w:p>
      <w:r>
        <w:t>建議Michael按以下階段協調：完成探訪、紀錄齊備及取得校方確認，屬不同里程碑。工作台記錄證據狀態及版本，並不自行證實事實。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85" w:type="dxa"/>
          <w:right w:w="85" w:type="dxa"/>
        </w:tblCellMar>
      </w:tblPr>
      <w:tblGrid>
        <w:gridCol w:w="1474"/>
        <w:gridCol w:w="4932"/>
        <w:gridCol w:w="3345"/>
      </w:tblGrid>
      <w:tr>
        <w:trPr>
          <w:cantSplit/>
          <w:tblHeader/>
        </w:trPr>
        <w:tc>
          <w:tcPr>
            <w:tcW w:type="dxa" w:w="1474"/>
            <w:vAlign w:val="center"/>
            <w:shd w:fill="E7EEF3"/>
          </w:tcPr>
          <w:p>
            <w:pPr>
              <w:spacing w:after="20" w:line="245" w:lineRule="auto"/>
              <w:jc w:val="center"/>
            </w:pPr>
            <w:r>
              <w:rPr>
                <w:b/>
                <w:sz w:val="19"/>
              </w:rPr>
              <w:t>階段</w:t>
            </w:r>
          </w:p>
        </w:tc>
        <w:tc>
          <w:tcPr>
            <w:tcW w:type="dxa" w:w="4932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人工完成核對</w:t>
            </w:r>
          </w:p>
        </w:tc>
        <w:tc>
          <w:tcPr>
            <w:tcW w:type="dxa" w:w="3345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工作台或追蹤表操作</w:t>
            </w:r>
          </w:p>
        </w:tc>
      </w:tr>
      <w:tr>
        <w:trPr>
          <w:cantSplit/>
        </w:trPr>
        <w:tc>
          <w:tcPr>
            <w:tcW w:type="dxa" w:w="147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D0 準備</w:t>
            </w:r>
          </w:p>
        </w:tc>
        <w:tc>
          <w:tcPr>
            <w:tcW w:type="dxa" w:w="4932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確認學校階段與學年、聯絡職位、探訪安排、適用來源及材料。</w:t>
            </w:r>
          </w:p>
        </w:tc>
        <w:tc>
          <w:tcPr>
            <w:tcW w:type="dxa" w:w="3345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在表格以外協調；未安排欄位留空。</w:t>
            </w:r>
          </w:p>
        </w:tc>
      </w:tr>
      <w:tr>
        <w:trPr>
          <w:cantSplit/>
        </w:trPr>
        <w:tc>
          <w:tcPr>
            <w:tcW w:type="dxa" w:w="147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D1 記錄</w:t>
            </w:r>
          </w:p>
        </w:tc>
        <w:tc>
          <w:tcPr>
            <w:tcW w:type="dxa" w:w="4932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記錄已了解部分、來源及未知事項；交代a至g、系統及六個角色。</w:t>
            </w:r>
          </w:p>
        </w:tc>
        <w:tc>
          <w:tcPr>
            <w:tcW w:type="dxa" w:w="3345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儲存草稿，可保留未齊資料。</w:t>
            </w:r>
          </w:p>
        </w:tc>
      </w:tr>
      <w:tr>
        <w:trPr>
          <w:cantSplit/>
        </w:trPr>
        <w:tc>
          <w:tcPr>
            <w:tcW w:type="dxa" w:w="147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D2 討論</w:t>
            </w:r>
          </w:p>
        </w:tc>
        <w:tc>
          <w:tcPr>
            <w:tcW w:type="dxa" w:w="4932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填妥學校、日期及紀錄人；待核事項清楚並有下一步。</w:t>
            </w:r>
          </w:p>
        </w:tc>
        <w:tc>
          <w:tcPr>
            <w:tcW w:type="dxa" w:w="3345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儲存供會議檢視，匯出已儲存版本。</w:t>
            </w:r>
          </w:p>
        </w:tc>
      </w:tr>
      <w:tr>
        <w:trPr>
          <w:cantSplit/>
        </w:trPr>
        <w:tc>
          <w:tcPr>
            <w:tcW w:type="dxa" w:w="147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D3 核對</w:t>
            </w:r>
          </w:p>
        </w:tc>
        <w:tc>
          <w:tcPr>
            <w:tcW w:type="dxa" w:w="4932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檢視來源、涵蓋及適用性；解決矛盾並核對關鍵事實，口述資料仍明確標示。</w:t>
            </w:r>
          </w:p>
        </w:tc>
        <w:tc>
          <w:tcPr>
            <w:tcW w:type="dxa" w:w="3345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通過欄位規則後記錄交叉核對；此狀態不等於每列均已按來源核實。</w:t>
            </w:r>
          </w:p>
        </w:tc>
      </w:tr>
      <w:tr>
        <w:trPr>
          <w:cantSplit/>
        </w:trPr>
        <w:tc>
          <w:tcPr>
            <w:tcW w:type="dxa" w:w="147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D4 完成訪校</w:t>
            </w:r>
          </w:p>
        </w:tc>
        <w:tc>
          <w:tcPr>
            <w:tcW w:type="dxa" w:w="4932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記錄校方覆述確認及修正；關鍵問題已處理；必要跟進已完成，或已記錄雙方同意不納入的原因。</w:t>
            </w:r>
          </w:p>
        </w:tc>
        <w:tc>
          <w:tcPr>
            <w:tcW w:type="dxa" w:w="3345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由人工在追蹤表確認，註明覆核人、日期及版本；目前沒有自動訪校結案標籤。</w:t>
            </w:r>
          </w:p>
        </w:tc>
      </w:tr>
    </w:tbl>
    <w:p>
      <w:pPr>
        <w:spacing w:after="20"/>
      </w:pPr>
    </w:p>
    <w:p>
      <w:pPr>
        <w:pStyle w:val="Heading2"/>
      </w:pPr>
      <w:r>
        <w:t>交叉核對及修正</w:t>
      </w:r>
    </w:p>
    <w:p>
      <w:r>
        <w:t>將教師口述與現有空白表格或指示對照，必要時請熟悉該步驟的同事確認。來源不一致時保留雙方說法並列出待問問題，毋須取平均或選擇較方便的答案。已核對內容改動後，先前核對及校方確認可能失效。</w:t>
      </w:r>
    </w:p>
    <w:p>
      <w:r>
        <w:t>完成前請校方確認：是否反映實際做法？哪些日期屬校內或對外？還有哪些修正？每項跟進列明問題、負責職位、已知的協定目標日期及完成證據。校方確認不等於批准產品範圍，也不構成經驗證研究結論。</w:t>
      </w:r>
    </w:p>
    <w:p>
      <w:r>
        <w:br w:type="page"/>
      </w:r>
    </w:p>
    <w:p>
      <w:pPr>
        <w:pStyle w:val="Heading1"/>
      </w:pPr>
      <w:r>
        <w:t>Michael的12校協調表</w:t>
      </w:r>
    </w:p>
    <w:p>
      <w:r>
        <w:t>以下僅為規劃位置，待確認校名後填寫；並非已探訪學校或工作台實際紀錄。學校數目、教師人數及訪談場次分開統計；已知時記錄D0至D4及已儲存VISIT編號與版本。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85" w:type="dxa"/>
          <w:right w:w="85" w:type="dxa"/>
        </w:tblCellMar>
      </w:tblPr>
      <w:tblGrid>
        <w:gridCol w:w="850"/>
        <w:gridCol w:w="2154"/>
        <w:gridCol w:w="1928"/>
        <w:gridCol w:w="2381"/>
        <w:gridCol w:w="2438"/>
      </w:tblGrid>
      <w:tr>
        <w:trPr>
          <w:cantSplit/>
          <w:tblHeader/>
        </w:trPr>
        <w:tc>
          <w:tcPr>
            <w:tcW w:type="dxa" w:w="850"/>
            <w:vAlign w:val="center"/>
            <w:shd w:fill="E7EEF3"/>
          </w:tcPr>
          <w:p>
            <w:pPr>
              <w:spacing w:after="20" w:line="245" w:lineRule="auto"/>
              <w:jc w:val="center"/>
            </w:pPr>
            <w:r>
              <w:rPr>
                <w:b/>
                <w:sz w:val="19"/>
              </w:rPr>
              <w:t>位置</w:t>
            </w:r>
          </w:p>
        </w:tc>
        <w:tc>
          <w:tcPr>
            <w:tcW w:type="dxa" w:w="2154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學校 階段 學年</w:t>
            </w:r>
          </w:p>
        </w:tc>
        <w:tc>
          <w:tcPr>
            <w:tcW w:type="dxa" w:w="1928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探訪日及階段</w:t>
            </w:r>
          </w:p>
        </w:tc>
        <w:tc>
          <w:tcPr>
            <w:tcW w:type="dxa" w:w="2381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紀錄版本及核對人</w:t>
            </w:r>
          </w:p>
        </w:tc>
        <w:tc>
          <w:tcPr>
            <w:tcW w:type="dxa" w:w="2438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校方確認及下一步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SCH01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SCH02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SCH03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SCH04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SCH05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SCH06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SCH07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SCH08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SCH09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SCH10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SCH11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SCH12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</w:tbl>
    <w:p>
      <w:pPr>
        <w:spacing w:after="20"/>
      </w:pPr>
    </w:p>
    <w:p>
      <w:pPr>
        <w:pStyle w:val="Heading2"/>
      </w:pPr>
      <w:r>
        <w:t>一致整理12校資料</w:t>
      </w:r>
    </w:p>
    <w:p>
      <w:r>
        <w:t>每校完成後按第2部分核對涵蓋範圍，並在下次探訪前記下問題。建議於第1、4、8、12校後檢視整體進展；日期及負責人待定。核心問題保持一致，修改措辭須記錄，讓跨校比較保留情境。</w:t>
      </w:r>
    </w:p>
    <w:p>
      <w:r>
        <w:t>跨校比較工作、欄位、交接、例外及所需輸出；每項統計註明分母，例如實際回答該題的學校，而非一律以12校計。未答、未問及不適用須分開。選定12校本身不足以推論全港普遍情況或研究有效性。</w:t>
      </w:r>
    </w:p>
    <w:p>
      <w:r>
        <w:t>團隊可與教師一起填寫現有工作台，再提供只含本校的Word或PDF檢視。現有帳戶角色適用整個工作區，不能視作教師只看本校的權限。Word修訂不會自動匯入。研究參與、重用、機構責任及成效指標須另行協定。</w:t>
      </w:r>
    </w:p>
    <w:p>
      <w:r>
        <w:br w:type="page"/>
      </w:r>
    </w:p>
    <w:p>
      <w:pPr>
        <w:pStyle w:val="Heading1"/>
      </w:pPr>
      <w:r>
        <w:t>訪校前參考來源及待定事項</w:t>
      </w:r>
    </w:p>
    <w:p>
      <w:r>
        <w:t>參考資料核對日期為2026年11月3日。官方事實、建議訪校安排及校本答案須分開標示。日期或表格有差異時，保留當前校方通知並記錄差異待核。</w:t>
      </w:r>
    </w:p>
    <w:p>
      <w:pPr>
        <w:spacing w:after="80" w:line="250" w:lineRule="auto"/>
      </w:pPr>
      <w:r>
        <w:rPr>
          <w:b/>
          <w:sz w:val="18"/>
        </w:rPr>
        <w:t>S0   Louisa實地探訪清單</w:t>
      </w:r>
      <w:r>
        <w:rPr>
          <w:sz w:val="18"/>
        </w:rPr>
        <w:br/>
        <w:t>第1至3節；a至g；五項人員問題及含列印上載的六步流程。</w:t>
      </w:r>
    </w:p>
    <w:p>
      <w:pPr>
        <w:spacing w:after="80" w:line="250" w:lineRule="auto"/>
      </w:pPr>
      <w:hyperlink r:id="rId11">
        <w:r>
          <w:rPr>
            <w:color w:val="245B76"/>
          </w:rPr>
          <w:t>S1   教育局SENSE常用表格</w:t>
        </w:r>
      </w:hyperlink>
      <w:r>
        <w:rPr>
          <w:sz w:val="18"/>
        </w:rPr>
        <w:br/>
        <w:t>項目1至10及辦學類別版本。</w:t>
      </w:r>
    </w:p>
    <w:p>
      <w:pPr>
        <w:spacing w:after="80" w:line="250" w:lineRule="auto"/>
      </w:pPr>
      <w:hyperlink r:id="rId12">
        <w:r>
          <w:rPr>
            <w:color w:val="245B76"/>
          </w:rPr>
          <w:t>S2   教育局融合教育運作指南 2026年9月</w:t>
        </w:r>
      </w:hyperlink>
      <w:r>
        <w:rPr>
          <w:sz w:val="18"/>
        </w:rPr>
        <w:br/>
        <w:t>第3.1.3節印刷頁14至16（PDF20至22）；第9.2節印刷頁76至78（PDF82至84）；並已核對中文版。</w:t>
      </w:r>
    </w:p>
    <w:p>
      <w:pPr>
        <w:spacing w:after="80" w:line="250" w:lineRule="auto"/>
      </w:pPr>
      <w:hyperlink r:id="rId13">
        <w:r>
          <w:rPr>
            <w:color w:val="245B76"/>
          </w:rPr>
          <w:t>S3   教育局通告6/2019 2026年6月22日更新</w:t>
        </w:r>
      </w:hyperlink>
      <w:r>
        <w:rPr>
          <w:sz w:val="18"/>
        </w:rPr>
        <w:br/>
        <w:t>範圍第1頁；第8段第5頁；第27段第10頁；附件1第12頁。直資安排另有規定，須核實適用指示。</w:t>
      </w:r>
    </w:p>
    <w:p>
      <w:pPr>
        <w:spacing w:after="80" w:line="250" w:lineRule="auto"/>
      </w:pPr>
      <w:hyperlink r:id="rId14">
        <w:r>
          <w:rPr>
            <w:color w:val="245B76"/>
          </w:rPr>
          <w:t>S4a   教育局空白IEP參考表</w:t>
        </w:r>
      </w:hyperlink>
      <w:r>
        <w:rPr>
          <w:sz w:val="18"/>
        </w:rPr>
        <w:br/>
        <w:t>第1至2頁強項興趣、目標、施行及準則；第3頁檢討。</w:t>
      </w:r>
    </w:p>
    <w:p>
      <w:pPr>
        <w:spacing w:after="80" w:line="250" w:lineRule="auto"/>
      </w:pPr>
      <w:hyperlink r:id="rId15">
        <w:r>
          <w:rPr>
            <w:color w:val="245B76"/>
          </w:rPr>
          <w:t>S4b   教育局小學生個別年終檢討表</w:t>
        </w:r>
      </w:hyperlink>
      <w:r>
        <w:rPr>
          <w:sz w:val="18"/>
        </w:rPr>
        <w:br/>
        <w:t>第3頁第3.2.4項非學科發展；中學須使用相應版本。</w:t>
      </w:r>
    </w:p>
    <w:p>
      <w:pPr>
        <w:spacing w:after="80" w:line="250" w:lineRule="auto"/>
      </w:pPr>
      <w:hyperlink r:id="rId16">
        <w:r>
          <w:rPr>
            <w:color w:val="245B76"/>
          </w:rPr>
          <w:t>S5   私隱專員公署保障資料原則概覽</w:t>
        </w:r>
      </w:hyperlink>
      <w:r>
        <w:rPr>
          <w:sz w:val="18"/>
        </w:rPr>
        <w:br/>
        <w:t>原則1必要適量收集及目的告知；原則2準確及保存；原則3使用。本探訪採最少收集屬項目建議。</w:t>
      </w:r>
    </w:p>
    <w:p>
      <w:pPr>
        <w:spacing w:after="80" w:line="250" w:lineRule="auto"/>
      </w:pPr>
      <w:hyperlink r:id="rId17">
        <w:r>
          <w:rPr>
            <w:color w:val="245B76"/>
          </w:rPr>
          <w:t>S6   英國政府訪談方法指引</w:t>
        </w:r>
      </w:hyperlink>
      <w:r>
        <w:rPr>
          <w:sz w:val="18"/>
        </w:rPr>
        <w:br/>
        <w:t>設計、進行及完成訪談部分。屬方法參考，不是香港學校政策。</w:t>
      </w:r>
    </w:p>
    <w:p>
      <w:pPr>
        <w:spacing w:after="80" w:line="250" w:lineRule="auto"/>
      </w:pPr>
      <w:hyperlink r:id="rId18">
        <w:r>
          <w:rPr>
            <w:color w:val="245B76"/>
          </w:rPr>
          <w:t>S7   英國政府訪談筆記及錄音指引</w:t>
        </w:r>
      </w:hyperlink>
      <w:r>
        <w:rPr>
          <w:sz w:val="18"/>
        </w:rPr>
        <w:br/>
        <w:t>私隱及同意、記錄內容、收集材料部分。</w:t>
      </w:r>
    </w:p>
    <w:p>
      <w:pPr>
        <w:spacing w:after="80" w:line="250" w:lineRule="auto"/>
      </w:pPr>
      <w:hyperlink r:id="rId19">
        <w:r>
          <w:rPr>
            <w:color w:val="245B76"/>
          </w:rPr>
          <w:t>S8   教育局通告4/2026 非華語綜合支援津貼</w:t>
        </w:r>
      </w:hyperlink>
      <w:r>
        <w:rPr>
          <w:sz w:val="18"/>
        </w:rPr>
        <w:br/>
        <w:t>第2至5段2026/27整合；第22段原有津貼結餘。</w:t>
      </w:r>
    </w:p>
    <w:p>
      <w:pPr>
        <w:spacing w:after="80" w:line="250" w:lineRule="auto"/>
      </w:pPr>
      <w:hyperlink r:id="rId20">
        <w:r>
          <w:rPr>
            <w:color w:val="245B76"/>
          </w:rPr>
          <w:t>S9   香港政府智慧校園答覆</w:t>
        </w:r>
      </w:hyperlink>
      <w:r>
        <w:rPr>
          <w:sz w:val="18"/>
        </w:rPr>
        <w:br/>
        <w:t>2026年7月15日答覆第2部分CloudSAMS；SEMIS名稱另對照S2第9.2節。</w:t>
      </w:r>
    </w:p>
    <w:p>
      <w:r>
        <w:t>安排前須協定：12校名單及學校階段與類別、聯絡人與訪談安排、紀錄核對及校方確認分工、可使用材料的處理方式接收方保存及更正聯絡人，以及每校完成準則。本指引不設定探訪日期、具名分工或回覆限期。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1020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HKJC  |  </w:t>
    </w:r>
    <w:r/>
    <w:fldSimple w:instr="PAGE"/>
    <w:r>
      <w:t xml:space="preserve"> / </w:t>
    </w:r>
    <w:r/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HKJC PM   |   學校探訪   |   2026-11-03  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 w:eastAsia="Heiti T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9" w:lineRule="auto"/>
      <w:outlineLvl w:val="0"/>
    </w:pPr>
    <w:rPr>
      <w:rFonts w:asciiTheme="majorHAnsi" w:eastAsiaTheme="majorEastAsia" w:hAnsiTheme="majorHAnsi" w:cstheme="majorBidi" w:ascii="Arial" w:hAnsi="Arial" w:eastAsia="Heiti T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9" w:lineRule="auto"/>
      <w:outlineLvl w:val="1"/>
    </w:pPr>
    <w:rPr>
      <w:rFonts w:asciiTheme="majorHAnsi" w:eastAsiaTheme="majorEastAsia" w:hAnsiTheme="majorHAnsi" w:cstheme="majorBidi" w:ascii="Arial" w:hAnsi="Arial" w:eastAsia="Heiti TC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 w:eastAsia="Heiti TC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00"/>
    </w:pPr>
    <w:rPr>
      <w:rFonts w:asciiTheme="majorHAnsi" w:eastAsiaTheme="majorEastAsia" w:hAnsiTheme="majorHAnsi" w:cstheme="majorBidi" w:ascii="Arial" w:hAnsi="Arial" w:eastAsia="Heiti TC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59" w:lineRule="auto" w:after="100"/>
      <w:contextualSpacing/>
    </w:pPr>
    <w:rPr>
      <w:rFonts w:ascii="Arial" w:hAnsi="Arial" w:eastAsia="Heiti TC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ense.edb.gov.hk/tc/integrated-education/commonforms.html" TargetMode="External"/><Relationship Id="rId12" Type="http://schemas.openxmlformats.org/officeDocument/2006/relationships/hyperlink" Target="https://sense.edb.gov.hk/uploads/page/integrated_education/landing/ie_guide_en.pdf" TargetMode="External"/><Relationship Id="rId13" Type="http://schemas.openxmlformats.org/officeDocument/2006/relationships/hyperlink" Target="https://applications.edb.gov.hk/circular/upload/EDBC/EDBC19006E.pdf" TargetMode="External"/><Relationship Id="rId14" Type="http://schemas.openxmlformats.org/officeDocument/2006/relationships/hyperlink" Target="https://sense.edb.gov.hk/uploads/page/integrated-education/forms_and_templates_r/2a_individual_education_plan_template_c.pdf" TargetMode="External"/><Relationship Id="rId15" Type="http://schemas.openxmlformats.org/officeDocument/2006/relationships/hyperlink" Target="https://sense.edb.gov.hk/uploads/page/integrated-education/forms_and_templates_r/9a_wsa_to_catering_for_primary_students_with_sen_yee_form_indvidual_student_c.pdf" TargetMode="External"/><Relationship Id="rId16" Type="http://schemas.openxmlformats.org/officeDocument/2006/relationships/hyperlink" Target="https://www.pcpd.org.hk/english/data_privacy_law/ordinance_at_a_Glance/ordinance.html" TargetMode="External"/><Relationship Id="rId17" Type="http://schemas.openxmlformats.org/officeDocument/2006/relationships/hyperlink" Target="https://www.gov.uk/service-manual/user-research/using-in-depth-interviews" TargetMode="External"/><Relationship Id="rId18" Type="http://schemas.openxmlformats.org/officeDocument/2006/relationships/hyperlink" Target="https://www.gov.uk/service-manual/user-research/taking-notes-and-recording-user-research-sessions" TargetMode="External"/><Relationship Id="rId19" Type="http://schemas.openxmlformats.org/officeDocument/2006/relationships/hyperlink" Target="https://applications.edb.gov.hk/circular/upload/EDBC/EDBC26004E.pdf" TargetMode="External"/><Relationship Id="rId20" Type="http://schemas.openxmlformats.org/officeDocument/2006/relationships/hyperlink" Target="https://www.info.gov.hk/gia/general/202607/15/P202607150064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12校探訪準備</dc:title>
  <dc:subject>教師指引 資料收集及完成核對</dc:subject>
  <dc:creator>HKJC Project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