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12校走访准备</w:t>
      </w:r>
    </w:p>
    <w:p>
      <w:pPr>
        <w:pStyle w:val="Subtitle"/>
      </w:pPr>
      <w:r>
        <w:t>教师指引 资料收集及完成核对</w:t>
      </w:r>
    </w:p>
    <w:p>
      <w:pPr>
        <w:pStyle w:val="Heading1"/>
      </w:pPr>
      <w:r>
        <w:t>教师访校准备指引</w:t>
      </w:r>
    </w:p>
    <w:p>
      <w:r>
        <w:t>我们正准备走访12所学校，希望了解教师日常教学、支持学生、准备记录及检视进展的实际做法。请使用现有资料，由项目记录人与你一起填表，再由校方检视内容是否准确。</w:t>
      </w:r>
    </w:p>
    <w:p>
      <w:pPr>
        <w:pStyle w:val="Heading2"/>
      </w:pPr>
      <w:r>
        <w:t>请准备的现有资料</w:t>
      </w:r>
    </w:p>
    <w:p>
      <w:pPr>
        <w:pStyle w:val="ListBullet"/>
      </w:pPr>
      <w:r>
        <w:t>校历及当前适用指示，显示哪份报告属哪个学年、何时交给谁、使用哪个系统。</w:t>
      </w:r>
    </w:p>
    <w:p>
      <w:pPr>
        <w:pStyle w:val="ListBullet"/>
      </w:pPr>
      <w:r>
        <w:t>一份现正使用的空白个别学习计划、学生支持摘要或检讨表；如适用，再备空白成绩单格式，并指出版本。</w:t>
      </w:r>
    </w:p>
    <w:p>
      <w:pPr>
        <w:pStyle w:val="ListBullet"/>
      </w:pPr>
      <w:r>
        <w:t>以安全演示方式说明最近完成的一项工作，由首次索取资料到核对、复核、打印及提交。</w:t>
      </w:r>
    </w:p>
    <w:p>
      <w:pPr>
        <w:pStyle w:val="ListBullet"/>
      </w:pPr>
      <w:r>
        <w:t>由熟悉流程的同事协助，建议包括特殊教育需要统筹主任（SENCO）或学生支持组成员，以及实际提供或使用资料的教师；行政或信息技术同事只需参与相关交接部分。</w:t>
      </w:r>
    </w:p>
    <w:p>
      <w:pPr>
        <w:pStyle w:val="Heading2"/>
      </w:pPr>
      <w:r>
        <w:t>怎样回答和填写</w:t>
      </w:r>
    </w:p>
    <w:p>
      <w:r>
        <w:t>请以最近一次实际经验说明谁做了什么、用哪个文件或界面，以及资料从何而来。「未知」、「未使用」及「来源有差异」都是有用答案。估计数字须注明单位和期间，例如每次检讨所需分钟，并标示为估计。</w:t>
      </w:r>
    </w:p>
    <w:p>
      <w:r>
        <w:t>本次流程走访使用空白表格或已移除可识别资料的示例，无须提供学生姓名、身份识别号码、诊断报告或账户密码。复制文件、截取界面或录音前，须先取得同意。[S5、S7]</w:t>
      </w:r>
    </w:p>
    <w:p>
      <w:r>
        <w:t>走访后，请检视团队提供的本校记录草稿，修正事实描述，区分校内期限与教育局期限，并指出待核事项；相关同事可各自确认熟悉的部分。</w:t>
      </w:r>
    </w:p>
    <w:p>
      <w:r>
        <w:br w:type="page"/>
      </w:r>
    </w:p>
    <w:p>
      <w:pPr>
        <w:pStyle w:val="Heading1"/>
      </w:pPr>
      <w:r>
        <w:t>每校共同收集的资料</w:t>
      </w:r>
    </w:p>
    <w:p>
      <w:r>
        <w:t>12校使用共同问题，同时保留各校实际用语及例外情况。先记录学校阶段、办学类别、学年、走访日期、受访者职务或代号，以及记录人；校名及日期须另行落实。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1814"/>
        <w:gridCol w:w="5443"/>
        <w:gridCol w:w="2494"/>
      </w:tblGrid>
      <w:tr>
        <w:trPr>
          <w:cantSplit/>
          <w:tblHeader/>
        </w:trPr>
        <w:tc>
          <w:tcPr>
            <w:tcW w:type="dxa" w:w="1814"/>
            <w:vAlign w:val="center"/>
            <w:shd w:fill="E7EEF3"/>
          </w:tcPr>
          <w:p>
            <w:pPr>
              <w:spacing w:after="20" w:line="245" w:lineRule="auto"/>
              <w:jc w:val="center"/>
            </w:pPr>
            <w:r>
              <w:rPr>
                <w:b/>
                <w:sz w:val="19"/>
              </w:rPr>
              <w:t>Louisa项目</w:t>
            </w:r>
          </w:p>
        </w:tc>
        <w:tc>
          <w:tcPr>
            <w:tcW w:type="dxa" w:w="5443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应了解的实际做法</w:t>
            </w:r>
          </w:p>
        </w:tc>
        <w:tc>
          <w:tcPr>
            <w:tcW w:type="dxa" w:w="2494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核对来源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a IEP 评估 名单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涉及哪些学生或文件、学年、所需副本及接收方？使用11月30日前先核实适用性。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当前提交指示及空白表格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b c d 成绩单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有多少学期？各学期发放日、校内收集日、字段、复核及实际转移步骤。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校历 空白格式 确切界面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e IEP进度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何时及由谁检视目标？使用什么准则？如何记录家长及学生意见？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空白IEP检讨部分及安排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f 年终检讨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是个别学生还是学校层面检讨？分别记下确切名称及用途。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空白表格名称 学年 版本</w:t>
            </w:r>
          </w:p>
        </w:tc>
      </w:tr>
      <w:tr>
        <w:trPr>
          <w:cantSplit/>
        </w:trPr>
        <w:tc>
          <w:tcPr>
            <w:tcW w:type="dxa" w:w="181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g 津贴报告</w:t>
            </w:r>
          </w:p>
        </w:tc>
        <w:tc>
          <w:tcPr>
            <w:tcW w:type="dxa" w:w="5443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哪项津贴、办学类别、学年、报告、复核人及提交渠道？留意2026/27变更。</w:t>
            </w:r>
          </w:p>
        </w:tc>
        <w:tc>
          <w:tcPr>
            <w:tcW w:type="dxa" w:w="249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当前适用通告或校内指示</w:t>
            </w:r>
          </w:p>
        </w:tc>
      </w:tr>
    </w:tbl>
    <w:p>
      <w:pPr>
        <w:spacing w:after="20"/>
      </w:pPr>
    </w:p>
    <w:p>
      <w:pPr>
        <w:pStyle w:val="Heading2"/>
      </w:pPr>
      <w:r>
        <w:t>系统及资料交接</w:t>
      </w:r>
    </w:p>
    <w:p>
      <w:r>
        <w:t>每个实际使用系统均记录界面上的确切名称、模块、使用字段、原始资料来源、导入导出格式及人工复制步骤。CloudSAMS、SEMIS、供应商产品与Excel分开记录；可导出文件不等于能自动连接其他系统。[S9]</w:t>
      </w:r>
    </w:p>
    <w:p>
      <w:r>
        <w:t>逐一追踪六个步骤：提供→录入整理→检查→复核→按需要打印→按需要上传。每步记录人员或职务、输入、输出、方法、下一接收方，以及发现错误后如何退回修正。同一人可负责多步。[S0]</w:t>
      </w:r>
    </w:p>
    <w:p>
      <w:r>
        <w:br w:type="page"/>
      </w:r>
    </w:p>
    <w:p>
      <w:pPr>
        <w:pStyle w:val="Heading1"/>
      </w:pPr>
      <w:r>
        <w:t>引导访谈及可核对记录</w:t>
      </w:r>
    </w:p>
    <w:p>
      <w:r>
        <w:t>建议60分钟，须先与校方协定：5分钟说明目的及资料使用方式；15分钟重述最近工作；15分钟核对文件与日期；15分钟了解系统及分工；10分钟复述及商定跟进。可配合现有会议。先在首校试用，修正不清楚的问题，保留版本及修改记录。[S6]</w:t>
      </w:r>
    </w:p>
    <w:p>
      <w:pPr>
        <w:pStyle w:val="Heading2"/>
      </w:pPr>
      <w:r>
        <w:t>引导具体事实的问题</w:t>
      </w:r>
    </w:p>
    <w:p>
      <w:pPr>
        <w:pStyle w:val="ListBullet"/>
      </w:pPr>
      <w:r>
        <w:t>Q1 请重述最近一次准备这份记录的过程。由什么事情开始？最先打开什么资料？</w:t>
      </w:r>
    </w:p>
    <w:p>
      <w:pPr>
        <w:pStyle w:val="ListBullet"/>
      </w:pPr>
      <w:r>
        <w:t>Q2 哪些资料原本已有？哪些要再次索取？可否展示空白示例？</w:t>
      </w:r>
    </w:p>
    <w:p>
      <w:pPr>
        <w:pStyle w:val="ListBullet"/>
      </w:pPr>
      <w:r>
        <w:t>Q3 复核后如教师修正一项资料，下一步怎样处理？由谁更新其他副本？</w:t>
      </w:r>
    </w:p>
    <w:p>
      <w:pPr>
        <w:pStyle w:val="ListBullet"/>
      </w:pPr>
      <w:r>
        <w:t>Q4 上次哪一步最费工夫？每项工作所需多少、属哪段期间？是实测、点算还是凭记忆估计？</w:t>
      </w:r>
    </w:p>
    <w:p>
      <w:pPr>
        <w:pStyle w:val="ListBullet"/>
      </w:pPr>
      <w:r>
        <w:t>Q5 教师现时怎样留意分数以外的强项、兴趣及进步，包括成绩一般或中等的学生？之后提供了什么发展机会？</w:t>
      </w:r>
    </w:p>
    <w:p>
      <w:pPr>
        <w:pStyle w:val="ListBullet"/>
      </w:pPr>
      <w:r>
        <w:t>Q6 哪一项具体输出最有帮助？如何核对准确度，以及教师、SENCO和行政同事的整体工作量？</w:t>
      </w:r>
    </w:p>
    <w:p>
      <w:pPr>
        <w:pStyle w:val="Heading2"/>
      </w:pPr>
      <w:r>
        <w:t>分开记录观察与理解</w:t>
      </w:r>
    </w:p>
    <w:p>
      <w:r>
        <w:t>虚构示例EV01：演示空白表格时，记录人看到三个字段由Excel复制到Word。教师估计每份检讨需20分钟，未有计时。来源：演示第3步及教师口述。可能理解：重复输入或增加工序。建议：试验重用这些字段。这并未证实可节省时间，也不是经验证研究结论。</w:t>
      </w:r>
    </w:p>
    <w:p>
      <w:r>
        <w:t>每项有用示例记录：日期及情境、职务或代号、实际发生的事、当时提供的支持或提示、可观察反应或输出、确切来源、证据类型、核对人及修正历史。未知资料保留为未知；了解学生作品的使用流程，无须收集可识别学生记录。</w:t>
      </w:r>
    </w:p>
    <w:p>
      <w:r>
        <w:br w:type="page"/>
      </w:r>
    </w:p>
    <w:p>
      <w:pPr>
        <w:pStyle w:val="Heading1"/>
      </w:pPr>
      <w:r>
        <w:t>已核实参考事实及校本核对</w:t>
      </w:r>
    </w:p>
    <w:p>
      <w:r>
        <w:t>F01 教育局参考文件分列支持记录册、IEP、支持摘要，以及个别学生和学校层面的年终检讨。须核实本校实际表格及版本。[S1]</w:t>
      </w:r>
    </w:p>
    <w:p>
      <w:r>
        <w:t>F02 2026年9月指南指出，IEP成效应每年至少评估两次，并按需要增加次数；这不代表所有IEP进度检讨均以11月30日为期限。[S2第3.1.3节，印刷页16]</w:t>
      </w:r>
    </w:p>
    <w:p>
      <w:r>
        <w:t>F03 在适用学习支持津贴安排下，11月30日涉及学生资料提交及相关副本；8月31日涉及经SEMIS提交的学校层面年终检讨。须核对办学类别、学年、文件及当前教育局通知；成绩单日期仍属校本安排。[S3第8、27段及附件1]</w:t>
      </w:r>
    </w:p>
    <w:p>
      <w:r>
        <w:t>F04 参考IEP及个别学生检讨表涵盖强项兴趣或非学科发展。应了解现有证据存放何处；访校示例不构成资优鉴定、诊断或干预成效证明。[S4a第1至2页；S4b第3页]</w:t>
      </w:r>
    </w:p>
    <w:p>
      <w:r>
        <w:t>F05 由2026/27学年起，「非华语学生综合支持津贴」整合两项原有非华语学生支持津贴。项目g须先核对津贴名称及学年，才重用旧表格。[S8第2至5、22段]</w:t>
      </w:r>
    </w:p>
    <w:p>
      <w:r>
        <w:t>F06 CloudSAMS与SEMIS是不同名称的教育局系统。先保留校方用语，再核对界面、模块及资料路径；笔记写「Simis」尚不足以辨明系统。[S2第9.2节；S9]</w:t>
      </w:r>
    </w:p>
    <w:p>
      <w:r>
        <w:t>以上是参考核对点，并非12校的实际情况。每个日期须分清学年、对外期限、校内收集日，以及证据版本。声称自动转移资料，须展示实际路径及限制。</w:t>
      </w:r>
    </w:p>
    <w:p>
      <w:r>
        <w:br w:type="page"/>
      </w:r>
    </w:p>
    <w:p>
      <w:pPr>
        <w:pStyle w:val="Heading1"/>
      </w:pPr>
      <w:r>
        <w:t>怎样判断访校工作已完成</w:t>
      </w:r>
    </w:p>
    <w:p>
      <w:r>
        <w:t>建议Michael按以下阶段协调：完成走访、记录齐备及取得校方确认，属不同里程碑。工作台记录证据状态及版本，并不自行证实事实。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1474"/>
        <w:gridCol w:w="4932"/>
        <w:gridCol w:w="3345"/>
      </w:tblGrid>
      <w:tr>
        <w:trPr>
          <w:cantSplit/>
          <w:tblHeader/>
        </w:trPr>
        <w:tc>
          <w:tcPr>
            <w:tcW w:type="dxa" w:w="1474"/>
            <w:vAlign w:val="center"/>
            <w:shd w:fill="E7EEF3"/>
          </w:tcPr>
          <w:p>
            <w:pPr>
              <w:spacing w:after="20" w:line="245" w:lineRule="auto"/>
              <w:jc w:val="center"/>
            </w:pPr>
            <w:r>
              <w:rPr>
                <w:b/>
                <w:sz w:val="19"/>
              </w:rPr>
              <w:t>阶段</w:t>
            </w:r>
          </w:p>
        </w:tc>
        <w:tc>
          <w:tcPr>
            <w:tcW w:type="dxa" w:w="4932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人工完成核对</w:t>
            </w:r>
          </w:p>
        </w:tc>
        <w:tc>
          <w:tcPr>
            <w:tcW w:type="dxa" w:w="3345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工作台或跟踪表操作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D0 准备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确认学校阶段与学年、联系职务、走访安排、适用来源及材料。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在表格以外协调；未安排字段留空。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D1 记录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记录已了解部分、来源及未知事项；交代a至g、系统及六个角色。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保存草稿，可保留不齐资料。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D2 讨论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填妥学校、日期及记录人；待核事项清楚并有下一步。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保存供会议审阅，导出已保存版本。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D3 核对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检视来源、涵盖及适用性；解决矛盾并核对关键事实，口述资料仍明确标示。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通过字段规则后记录交叉核对；此状态不等于每行均已按来源核实。</w:t>
            </w:r>
          </w:p>
        </w:tc>
      </w:tr>
      <w:tr>
        <w:trPr>
          <w:cantSplit/>
        </w:trPr>
        <w:tc>
          <w:tcPr>
            <w:tcW w:type="dxa" w:w="1474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D4 完成访校</w:t>
            </w:r>
          </w:p>
        </w:tc>
        <w:tc>
          <w:tcPr>
            <w:tcW w:type="dxa" w:w="4932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记录校方复述确认及修正；关键问题已处理；必要跟进已完成，或已记录双方同意不纳入的原因。</w:t>
            </w:r>
          </w:p>
        </w:tc>
        <w:tc>
          <w:tcPr>
            <w:tcW w:type="dxa" w:w="3345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由人工在跟踪表确认，注明复核人、日期及版本；目前没有自动访校结案标签。</w:t>
            </w:r>
          </w:p>
        </w:tc>
      </w:tr>
    </w:tbl>
    <w:p>
      <w:pPr>
        <w:spacing w:after="20"/>
      </w:pPr>
    </w:p>
    <w:p>
      <w:pPr>
        <w:pStyle w:val="Heading2"/>
      </w:pPr>
      <w:r>
        <w:t>交叉核对及修正</w:t>
      </w:r>
    </w:p>
    <w:p>
      <w:r>
        <w:t>将教师口述与现有空白表格或指示对照，必要时请熟悉该步骤的同事确认。来源不一致时保留双方说法并列出待问问题，无须取平均或选择较方便的答案。已核对内容改动后，先前核对及校方确认可能失效。</w:t>
      </w:r>
    </w:p>
    <w:p>
      <w:r>
        <w:t>完成前请校方确认：是否反映实际做法？哪些日期属校内或对外？还有哪些修正？每项跟进列明问题、负责职务、已知的约定目标日期及完成证据。校方确认不等于批准产品范围，也不构成经验证研究结论。</w:t>
      </w:r>
    </w:p>
    <w:p>
      <w:r>
        <w:br w:type="page"/>
      </w:r>
    </w:p>
    <w:p>
      <w:pPr>
        <w:pStyle w:val="Heading1"/>
      </w:pPr>
      <w:r>
        <w:t>Michael的12校协调表</w:t>
      </w:r>
    </w:p>
    <w:p>
      <w:r>
        <w:t>以下仅为规划位置，待确认校名后填写；并非已走访学校或工作台实际记录。学校数目、教师人数及访谈场次分开统计；已知时记录D0至D4及已保存VISIT编号与版本。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65" w:type="dxa"/>
          <w:bottom w:w="65" w:type="dxa"/>
          <w:left w:w="85" w:type="dxa"/>
          <w:right w:w="85" w:type="dxa"/>
        </w:tblCellMar>
      </w:tblPr>
      <w:tblGrid>
        <w:gridCol w:w="850"/>
        <w:gridCol w:w="2154"/>
        <w:gridCol w:w="1928"/>
        <w:gridCol w:w="2381"/>
        <w:gridCol w:w="2438"/>
      </w:tblGrid>
      <w:tr>
        <w:trPr>
          <w:cantSplit/>
          <w:tblHeader/>
        </w:trPr>
        <w:tc>
          <w:tcPr>
            <w:tcW w:type="dxa" w:w="850"/>
            <w:vAlign w:val="center"/>
            <w:shd w:fill="E7EEF3"/>
          </w:tcPr>
          <w:p>
            <w:pPr>
              <w:spacing w:after="20" w:line="245" w:lineRule="auto"/>
              <w:jc w:val="center"/>
            </w:pPr>
            <w:r>
              <w:rPr>
                <w:b/>
                <w:sz w:val="19"/>
              </w:rPr>
              <w:t>位置</w:t>
            </w:r>
          </w:p>
        </w:tc>
        <w:tc>
          <w:tcPr>
            <w:tcW w:type="dxa" w:w="2154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学校 阶段 学年</w:t>
            </w:r>
          </w:p>
        </w:tc>
        <w:tc>
          <w:tcPr>
            <w:tcW w:type="dxa" w:w="1928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走访日及阶段</w:t>
            </w:r>
          </w:p>
        </w:tc>
        <w:tc>
          <w:tcPr>
            <w:tcW w:type="dxa" w:w="2381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记录版本及核对人</w:t>
            </w:r>
          </w:p>
        </w:tc>
        <w:tc>
          <w:tcPr>
            <w:tcW w:type="dxa" w:w="2438"/>
            <w:vAlign w:val="center"/>
            <w:shd w:fill="E7EEF3"/>
          </w:tcPr>
          <w:p>
            <w:pPr>
              <w:spacing w:after="20" w:line="245" w:lineRule="auto"/>
            </w:pPr>
            <w:r>
              <w:rPr>
                <w:b/>
                <w:sz w:val="19"/>
              </w:rPr>
              <w:t>校方确认及下一步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SCH01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SCH02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SCH03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SCH04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SCH05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SCH06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SCH07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SCH08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SCH09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SCH10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SCH11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  <w:tr>
        <w:trPr>
          <w:cantSplit/>
        </w:trPr>
        <w:tc>
          <w:tcPr>
            <w:tcW w:type="dxa" w:w="850"/>
            <w:vAlign w:val="center"/>
          </w:tcPr>
          <w:p>
            <w:pPr>
              <w:spacing w:after="20" w:line="245" w:lineRule="auto"/>
              <w:jc w:val="center"/>
            </w:pPr>
            <w:r>
              <w:rPr>
                <w:b w:val="0"/>
                <w:sz w:val="19"/>
              </w:rPr>
              <w:t>SCH12</w:t>
            </w:r>
          </w:p>
        </w:tc>
        <w:tc>
          <w:tcPr>
            <w:tcW w:type="dxa" w:w="2154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192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381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  <w:tc>
          <w:tcPr>
            <w:tcW w:type="dxa" w:w="2438"/>
            <w:vAlign w:val="center"/>
          </w:tcPr>
          <w:p>
            <w:pPr>
              <w:spacing w:after="20" w:line="245" w:lineRule="auto"/>
            </w:pPr>
            <w:r>
              <w:rPr>
                <w:b w:val="0"/>
                <w:sz w:val="19"/>
              </w:rPr>
              <w:t>________</w:t>
            </w:r>
          </w:p>
        </w:tc>
      </w:tr>
    </w:tbl>
    <w:p>
      <w:pPr>
        <w:spacing w:after="20"/>
      </w:pPr>
    </w:p>
    <w:p>
      <w:pPr>
        <w:pStyle w:val="Heading2"/>
      </w:pPr>
      <w:r>
        <w:t>一致整理12校资料</w:t>
      </w:r>
    </w:p>
    <w:p>
      <w:r>
        <w:t>每校完成后按第2部分核对涵盖范围，并在下次走访前记下问题。建议于第1、4、8、12校后检视整体进展；日期及负责人待定。核心问题保持一致，修改措辞须记录，让跨校比较保留情境。</w:t>
      </w:r>
    </w:p>
    <w:p>
      <w:r>
        <w:t>跨校比较工作、字段、交接、例外及所需输出；每项统计注明分母，例如实际回答该题的学校，而非一律以12校计。未答、未问及不适用须分开。选定12校本身不足以推论全港普遍情况或研究有效性。</w:t>
      </w:r>
    </w:p>
    <w:p>
      <w:r>
        <w:t>团队可与教师一起填写现有工作台，再提供只含本校的Word或PDF检视。现有账户角色适用整个工作区，不能视作教师只看本校的权限。Word修订不会自动导入。研究参与、重用、机构责任及成效指标须另行约定。</w:t>
      </w:r>
    </w:p>
    <w:p>
      <w:r>
        <w:br w:type="page"/>
      </w:r>
    </w:p>
    <w:p>
      <w:pPr>
        <w:pStyle w:val="Heading1"/>
      </w:pPr>
      <w:r>
        <w:t>访校前参考来源及待定事项</w:t>
      </w:r>
    </w:p>
    <w:p>
      <w:r>
        <w:t>参考资料核对日期为2026年11月3日。官方事实、建议走访安排及校本答案须分开标示。日期或表格有差异时，保留当前校方通知并记录差异待核。</w:t>
      </w:r>
    </w:p>
    <w:p>
      <w:pPr>
        <w:spacing w:after="80" w:line="250" w:lineRule="auto"/>
      </w:pPr>
      <w:r>
        <w:rPr>
          <w:b/>
          <w:sz w:val="18"/>
        </w:rPr>
        <w:t>S0   Louisa实地走访清单</w:t>
      </w:r>
      <w:r>
        <w:rPr>
          <w:sz w:val="18"/>
        </w:rPr>
        <w:br/>
        <w:t>第1至3节；a至g；五项人员问题及含打印上传的六步流程。</w:t>
      </w:r>
    </w:p>
    <w:p>
      <w:pPr>
        <w:spacing w:after="80" w:line="250" w:lineRule="auto"/>
      </w:pPr>
      <w:hyperlink r:id="rId11">
        <w:r>
          <w:rPr>
            <w:color w:val="245B76"/>
          </w:rPr>
          <w:t>S1   教育局SENSE常用表格</w:t>
        </w:r>
      </w:hyperlink>
      <w:r>
        <w:rPr>
          <w:sz w:val="18"/>
        </w:rPr>
        <w:br/>
        <w:t>项目1至10及办学类别版本。</w:t>
      </w:r>
    </w:p>
    <w:p>
      <w:pPr>
        <w:spacing w:after="80" w:line="250" w:lineRule="auto"/>
      </w:pPr>
      <w:hyperlink r:id="rId12">
        <w:r>
          <w:rPr>
            <w:color w:val="245B76"/>
          </w:rPr>
          <w:t>S2   教育局融合教育运作指南 2026年9月</w:t>
        </w:r>
      </w:hyperlink>
      <w:r>
        <w:rPr>
          <w:sz w:val="18"/>
        </w:rPr>
        <w:br/>
        <w:t>第3.1.3节印刷页14至16（PDF20至22）；第9.2节印刷页76至78（PDF82至84）；并已核对中文版。</w:t>
      </w:r>
    </w:p>
    <w:p>
      <w:pPr>
        <w:spacing w:after="80" w:line="250" w:lineRule="auto"/>
      </w:pPr>
      <w:hyperlink r:id="rId13">
        <w:r>
          <w:rPr>
            <w:color w:val="245B76"/>
          </w:rPr>
          <w:t>S3   教育局通告6/2019 2026年6月22日更新</w:t>
        </w:r>
      </w:hyperlink>
      <w:r>
        <w:rPr>
          <w:sz w:val="18"/>
        </w:rPr>
        <w:br/>
        <w:t>范围第1页；第8段第5页；第27段第10页；附件1第12页。直资安排另有规定，须核实适用指示。</w:t>
      </w:r>
    </w:p>
    <w:p>
      <w:pPr>
        <w:spacing w:after="80" w:line="250" w:lineRule="auto"/>
      </w:pPr>
      <w:hyperlink r:id="rId14">
        <w:r>
          <w:rPr>
            <w:color w:val="245B76"/>
          </w:rPr>
          <w:t>S4a   教育局空白IEP参考表</w:t>
        </w:r>
      </w:hyperlink>
      <w:r>
        <w:rPr>
          <w:sz w:val="18"/>
        </w:rPr>
        <w:br/>
        <w:t>第1至2页强项兴趣、目标、实施及准则；第3页检讨。</w:t>
      </w:r>
    </w:p>
    <w:p>
      <w:pPr>
        <w:spacing w:after="80" w:line="250" w:lineRule="auto"/>
      </w:pPr>
      <w:hyperlink r:id="rId15">
        <w:r>
          <w:rPr>
            <w:color w:val="245B76"/>
          </w:rPr>
          <w:t>S4b   教育局小学生个别年终检讨表</w:t>
        </w:r>
      </w:hyperlink>
      <w:r>
        <w:rPr>
          <w:sz w:val="18"/>
        </w:rPr>
        <w:br/>
        <w:t>第3页第3.2.4项非学科发展；中学须使用相应版本。</w:t>
      </w:r>
    </w:p>
    <w:p>
      <w:pPr>
        <w:spacing w:after="80" w:line="250" w:lineRule="auto"/>
      </w:pPr>
      <w:hyperlink r:id="rId16">
        <w:r>
          <w:rPr>
            <w:color w:val="245B76"/>
          </w:rPr>
          <w:t>S5   隐私专员公署保障资料原则概览</w:t>
        </w:r>
      </w:hyperlink>
      <w:r>
        <w:rPr>
          <w:sz w:val="18"/>
        </w:rPr>
        <w:br/>
        <w:t>原则1必要适量收集及目的告知；原则2准确及保存；原则3使用。本走访采用最少收集属项目建议。</w:t>
      </w:r>
    </w:p>
    <w:p>
      <w:pPr>
        <w:spacing w:after="80" w:line="250" w:lineRule="auto"/>
      </w:pPr>
      <w:hyperlink r:id="rId17">
        <w:r>
          <w:rPr>
            <w:color w:val="245B76"/>
          </w:rPr>
          <w:t>S6   英国政府访谈方法指引</w:t>
        </w:r>
      </w:hyperlink>
      <w:r>
        <w:rPr>
          <w:sz w:val="18"/>
        </w:rPr>
        <w:br/>
        <w:t>设计、开展及完成访谈部分。属方法参考，不是香港学校政策。</w:t>
      </w:r>
    </w:p>
    <w:p>
      <w:pPr>
        <w:spacing w:after="80" w:line="250" w:lineRule="auto"/>
      </w:pPr>
      <w:hyperlink r:id="rId18">
        <w:r>
          <w:rPr>
            <w:color w:val="245B76"/>
          </w:rPr>
          <w:t>S7   英国政府访谈笔记及录音指引</w:t>
        </w:r>
      </w:hyperlink>
      <w:r>
        <w:rPr>
          <w:sz w:val="18"/>
        </w:rPr>
        <w:br/>
        <w:t>隐私及同意、记录内容、收集材料部分。</w:t>
      </w:r>
    </w:p>
    <w:p>
      <w:pPr>
        <w:spacing w:after="80" w:line="250" w:lineRule="auto"/>
      </w:pPr>
      <w:hyperlink r:id="rId19">
        <w:r>
          <w:rPr>
            <w:color w:val="245B76"/>
          </w:rPr>
          <w:t>S8   教育局通告4/2026 非华语综合支持津贴</w:t>
        </w:r>
      </w:hyperlink>
      <w:r>
        <w:rPr>
          <w:sz w:val="18"/>
        </w:rPr>
        <w:br/>
        <w:t>第2至5段2026/27整合；第22段原有津贴结余。</w:t>
      </w:r>
    </w:p>
    <w:p>
      <w:pPr>
        <w:spacing w:after="80" w:line="250" w:lineRule="auto"/>
      </w:pPr>
      <w:hyperlink r:id="rId20">
        <w:r>
          <w:rPr>
            <w:color w:val="245B76"/>
          </w:rPr>
          <w:t>S9   香港政府智慧校园答复</w:t>
        </w:r>
      </w:hyperlink>
      <w:r>
        <w:rPr>
          <w:sz w:val="18"/>
        </w:rPr>
        <w:br/>
        <w:t>2026年7月15日答复第2部分CloudSAMS；SEMIS名称另对照S2第9.2节。</w:t>
      </w:r>
    </w:p>
    <w:p>
      <w:r>
        <w:t>安排前须约定：12校名单及学校阶段与类别、联系人与访谈安排、记录核对及校方确认分工、可使用材料的处理方式接收方保存及更正联系人，以及每校完成准则。本指引不设定走访日期、具名分工或回复期限。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HKJC  |  </w:t>
    </w:r>
    <w:r/>
    <w:fldSimple w:instr="PAGE"/>
    <w:r>
      <w:t xml:space="preserve"> / </w:t>
    </w:r>
    <w:r/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HKJC PM   |   学校走访   |   2026-11-03 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9" w:lineRule="auto"/>
      <w:outlineLvl w:val="0"/>
    </w:pPr>
    <w:rPr>
      <w:rFonts w:asciiTheme="majorHAnsi" w:eastAsiaTheme="majorEastAsia" w:hAnsiTheme="majorHAnsi" w:cstheme="majorBidi" w:ascii="Arial" w:hAnsi="Arial" w:eastAsia="Hei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9" w:lineRule="auto"/>
      <w:outlineLvl w:val="1"/>
    </w:pPr>
    <w:rPr>
      <w:rFonts w:asciiTheme="majorHAnsi" w:eastAsiaTheme="majorEastAsia" w:hAnsiTheme="majorHAnsi" w:cstheme="majorBidi" w:ascii="Arial" w:hAnsi="Arial" w:eastAsia="Heiti S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 w:eastAsia="Heiti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00"/>
    </w:pPr>
    <w:rPr>
      <w:rFonts w:asciiTheme="majorHAnsi" w:eastAsiaTheme="majorEastAsia" w:hAnsiTheme="majorHAnsi" w:cstheme="majorBidi" w:ascii="Arial" w:hAnsi="Arial" w:eastAsia="Heiti SC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59" w:lineRule="auto" w:after="100"/>
      <w:contextualSpacing/>
    </w:pPr>
    <w:rPr>
      <w:rFonts w:ascii="Arial" w:hAnsi="Arial" w:eastAsia="Heiti SC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ense.edb.gov.hk/tc/integrated-education/commonforms.html" TargetMode="External"/><Relationship Id="rId12" Type="http://schemas.openxmlformats.org/officeDocument/2006/relationships/hyperlink" Target="https://sense.edb.gov.hk/uploads/page/integrated_education/landing/ie_guide_en.pdf" TargetMode="External"/><Relationship Id="rId13" Type="http://schemas.openxmlformats.org/officeDocument/2006/relationships/hyperlink" Target="https://applications.edb.gov.hk/circular/upload/EDBC/EDBC19006E.pdf" TargetMode="External"/><Relationship Id="rId14" Type="http://schemas.openxmlformats.org/officeDocument/2006/relationships/hyperlink" Target="https://sense.edb.gov.hk/uploads/page/integrated-education/forms_and_templates_r/2a_individual_education_plan_template_c.pdf" TargetMode="External"/><Relationship Id="rId15" Type="http://schemas.openxmlformats.org/officeDocument/2006/relationships/hyperlink" Target="https://sense.edb.gov.hk/uploads/page/integrated-education/forms_and_templates_r/9a_wsa_to_catering_for_primary_students_with_sen_yee_form_indvidual_student_c.pdf" TargetMode="External"/><Relationship Id="rId16" Type="http://schemas.openxmlformats.org/officeDocument/2006/relationships/hyperlink" Target="https://www.pcpd.org.hk/english/data_privacy_law/ordinance_at_a_Glance/ordinance.html" TargetMode="External"/><Relationship Id="rId17" Type="http://schemas.openxmlformats.org/officeDocument/2006/relationships/hyperlink" Target="https://www.gov.uk/service-manual/user-research/using-in-depth-interviews" TargetMode="External"/><Relationship Id="rId18" Type="http://schemas.openxmlformats.org/officeDocument/2006/relationships/hyperlink" Target="https://www.gov.uk/service-manual/user-research/taking-notes-and-recording-user-research-sessions" TargetMode="External"/><Relationship Id="rId19" Type="http://schemas.openxmlformats.org/officeDocument/2006/relationships/hyperlink" Target="https://applications.edb.gov.hk/circular/upload/EDBC/EDBC26004E.pdf" TargetMode="External"/><Relationship Id="rId20" Type="http://schemas.openxmlformats.org/officeDocument/2006/relationships/hyperlink" Target="https://www.info.gov.hk/gia/general/202607/15/P202607150064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12校走访准备</dc:title>
  <dc:subject>教师指引 资料收集及完成核对</dc:subject>
  <dc:creator>HKJC Project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